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C21" w14:textId="77777777" w:rsidR="00E74FD7" w:rsidRPr="00E74FD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D7">
        <w:rPr>
          <w:rFonts w:ascii="Times New Roman" w:hAnsi="Times New Roman" w:cs="Times New Roman"/>
          <w:b/>
          <w:sz w:val="28"/>
          <w:szCs w:val="28"/>
        </w:rPr>
        <w:t>Бағдарлама</w:t>
      </w:r>
    </w:p>
    <w:p w14:paraId="618E2BB1" w14:textId="1A834AC0" w:rsidR="004467B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D7">
        <w:rPr>
          <w:rFonts w:ascii="Times New Roman" w:hAnsi="Times New Roman" w:cs="Times New Roman"/>
          <w:b/>
          <w:sz w:val="28"/>
          <w:szCs w:val="28"/>
        </w:rPr>
        <w:t xml:space="preserve">2023/2024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78B">
        <w:rPr>
          <w:rFonts w:ascii="Times New Roman" w:hAnsi="Times New Roman" w:cs="Times New Roman"/>
          <w:sz w:val="28"/>
          <w:szCs w:val="28"/>
        </w:rPr>
        <w:t>«</w:t>
      </w:r>
      <w:r w:rsidR="0068578B" w:rsidRPr="0068578B">
        <w:rPr>
          <w:rFonts w:ascii="Times New Roman" w:hAnsi="Times New Roman" w:cs="Times New Roman"/>
          <w:sz w:val="28"/>
          <w:szCs w:val="28"/>
          <w:lang w:val="kk-KZ"/>
        </w:rPr>
        <w:t>Жуықтап талдаудағы теоретикалық сандық әдістер және олардың қолданыстары</w:t>
      </w:r>
      <w:r w:rsidRPr="0068578B">
        <w:rPr>
          <w:rFonts w:ascii="Times New Roman" w:hAnsi="Times New Roman" w:cs="Times New Roman"/>
          <w:sz w:val="28"/>
          <w:szCs w:val="28"/>
        </w:rPr>
        <w:t>»</w:t>
      </w:r>
      <w:r w:rsidRPr="00E74FD7">
        <w:rPr>
          <w:rFonts w:ascii="Times New Roman" w:hAnsi="Times New Roman" w:cs="Times New Roman"/>
          <w:b/>
          <w:sz w:val="28"/>
          <w:szCs w:val="28"/>
        </w:rPr>
        <w:t xml:space="preserve"> курсы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</w:p>
    <w:p w14:paraId="46221ADF" w14:textId="77777777" w:rsidR="00E74FD7" w:rsidRPr="007055AE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65FC40A5" w:rsidR="004467B7" w:rsidRPr="00E74FD7" w:rsidRDefault="002C6483" w:rsidP="004467B7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Механик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-математи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ка</w:t>
      </w:r>
      <w:r w:rsidR="00E74FD7"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FD7" w:rsidRPr="007055AE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E74FD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94E7C93" w14:textId="2527CFC0" w:rsidR="004467B7" w:rsidRPr="009F7B55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B55">
        <w:rPr>
          <w:rFonts w:ascii="Times New Roman" w:hAnsi="Times New Roman" w:cs="Times New Roman"/>
          <w:b/>
          <w:sz w:val="28"/>
          <w:szCs w:val="28"/>
          <w:lang w:val="kk-KZ"/>
        </w:rPr>
        <w:t>Кафедра</w:t>
      </w:r>
      <w:r w:rsidRPr="009F7B5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F7B55" w:rsidRPr="009F7B55">
        <w:rPr>
          <w:rFonts w:ascii="Times New Roman" w:hAnsi="Times New Roman" w:cs="Times New Roman"/>
          <w:sz w:val="28"/>
          <w:szCs w:val="28"/>
          <w:u w:val="single"/>
          <w:lang w:val="kk-KZ"/>
        </w:rPr>
        <w:t>Математика</w:t>
      </w:r>
    </w:p>
    <w:p w14:paraId="1392201E" w14:textId="75CFDCB1" w:rsidR="00507B04" w:rsidRPr="009F7B55" w:rsidRDefault="00E74FD7" w:rsidP="00507B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74FD7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бағдарламасының коды және атауы</w:t>
      </w:r>
      <w:r w:rsidR="004467B7" w:rsidRPr="009F7B5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467B7"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68578B" w:rsidRPr="0068578B">
        <w:rPr>
          <w:rFonts w:ascii="Times New Roman" w:hAnsi="Times New Roman" w:cs="Times New Roman"/>
          <w:b/>
          <w:sz w:val="28"/>
          <w:szCs w:val="28"/>
          <w:u w:val="single"/>
          <w:lang w:val="kk-KZ" w:eastAsia="ar-SA"/>
        </w:rPr>
        <w:t xml:space="preserve">7М05402 </w:t>
      </w:r>
      <w:r w:rsidR="009F7B5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-</w:t>
      </w:r>
      <w:r w:rsidR="009F7B55" w:rsidRPr="009F7B5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F7B55" w:rsidRPr="009F7B55">
        <w:rPr>
          <w:rFonts w:ascii="Times New Roman" w:hAnsi="Times New Roman" w:cs="Times New Roman"/>
          <w:sz w:val="28"/>
          <w:szCs w:val="28"/>
          <w:u w:val="single"/>
          <w:lang w:val="kk-KZ"/>
        </w:rPr>
        <w:t>Математика</w:t>
      </w:r>
      <w:r w:rsidR="009F7B5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bookmarkStart w:id="0" w:name="_GoBack"/>
      <w:bookmarkEnd w:id="0"/>
      <w:r w:rsidR="002C6483" w:rsidRPr="009F7B55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 xml:space="preserve"> </w:t>
      </w:r>
    </w:p>
    <w:p w14:paraId="5F18875C" w14:textId="767DE5D1" w:rsidR="004467B7" w:rsidRPr="0068578B" w:rsidRDefault="00E74FD7" w:rsidP="00507B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Пәннің атауы</w:t>
      </w:r>
      <w:r w:rsidR="004467B7"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9F7B55" w:rsidRPr="009F7B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78B" w:rsidRPr="0068578B">
        <w:rPr>
          <w:rFonts w:ascii="Times New Roman" w:hAnsi="Times New Roman" w:cs="Times New Roman"/>
          <w:sz w:val="28"/>
          <w:szCs w:val="28"/>
          <w:lang w:val="kk-KZ"/>
        </w:rPr>
        <w:t>«Жуықтап талдаудағы теоретикалық сандық әдістер және олардың қолданыстары»</w:t>
      </w:r>
    </w:p>
    <w:p w14:paraId="4B0DC45D" w14:textId="08015344" w:rsidR="004467B7" w:rsidRPr="0068578B" w:rsidRDefault="004467B7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9F7B55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Курс</w:t>
      </w:r>
      <w:r w:rsidR="0068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8578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23F5C11" w14:textId="4BDF5578" w:rsidR="00E74FD7" w:rsidRPr="00E74FD7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Мұғалім: </w:t>
      </w:r>
      <w:r w:rsidR="009F7B55" w:rsidRPr="009F7B55">
        <w:rPr>
          <w:rFonts w:ascii="Times New Roman" w:hAnsi="Times New Roman" w:cs="Times New Roman"/>
          <w:sz w:val="28"/>
          <w:szCs w:val="28"/>
          <w:lang w:val="kk-KZ" w:eastAsia="ar-SA"/>
        </w:rPr>
        <w:t>Калиева Куляш Абиловна</w:t>
      </w:r>
      <w:r w:rsidR="009F7B55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</w:p>
    <w:p w14:paraId="435ADC3A" w14:textId="6073EA74" w:rsidR="004467B7" w:rsidRPr="00E74FD7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кафердра</w:t>
      </w: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қарау және бекіту күні</w:t>
      </w:r>
      <w:r w:rsidR="000875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75A6" w:rsidRPr="000875A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09.11.2023</w:t>
      </w:r>
      <w:r w:rsidR="004467B7" w:rsidRPr="00E74FD7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 w:rsidR="004467B7" w:rsidRPr="00E74FD7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14:paraId="32760000" w14:textId="256C79D6" w:rsidR="00E74FD7" w:rsidRPr="00E74FD7" w:rsidRDefault="00E74FD7" w:rsidP="00E74F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пәні бойынша қорытынды бақылау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7B55" w:rsidRPr="00E74FD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F7B55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9F7B55" w:rsidRPr="00E74FD7">
        <w:rPr>
          <w:rFonts w:ascii="Times New Roman" w:hAnsi="Times New Roman" w:cs="Times New Roman"/>
          <w:sz w:val="28"/>
          <w:szCs w:val="28"/>
          <w:lang w:val="kk-KZ"/>
        </w:rPr>
        <w:t xml:space="preserve">, семинарлар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тақырыптар қамтыл</w:t>
      </w:r>
      <w:r w:rsidR="009F7B55">
        <w:rPr>
          <w:rFonts w:ascii="Times New Roman" w:hAnsi="Times New Roman" w:cs="Times New Roman"/>
          <w:sz w:val="28"/>
          <w:szCs w:val="28"/>
          <w:lang w:val="kk-KZ"/>
        </w:rPr>
        <w:t xml:space="preserve">ынған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:)</w:t>
      </w:r>
    </w:p>
    <w:p w14:paraId="12BF89C6" w14:textId="77777777" w:rsidR="00E74FD7" w:rsidRPr="0047363F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Платформа: </w:t>
      </w:r>
      <w:r w:rsidRPr="0047363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жоқ</w:t>
      </w:r>
    </w:p>
    <w:p w14:paraId="3C69646C" w14:textId="77777777" w:rsidR="004467B7" w:rsidRPr="0047363F" w:rsidRDefault="004467B7">
      <w:pPr>
        <w:widowControl w:val="0"/>
        <w:spacing w:line="240" w:lineRule="auto"/>
        <w:ind w:left="852" w:right="170" w:firstLine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14:paraId="0C1F3D7D" w14:textId="276F27FB" w:rsidR="00E74FD7" w:rsidRPr="0047363F" w:rsidRDefault="0047363F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Ауызша емтихан – </w:t>
      </w: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 емтихан кестесіне сәйкес емтихан комиссиясының алдындағы ғимаратта билеттегі сұрақтарға жауап беру арқылы емтихан тапсырады. Емтихан барысы бейнекамера арқылы бақыланады.</w:t>
      </w:r>
    </w:p>
    <w:p w14:paraId="079A54FD" w14:textId="77777777" w:rsidR="001E5E27" w:rsidRPr="0047363F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0C737C" w14:textId="77777777" w:rsidR="004467B7" w:rsidRPr="0047363F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C098AAA" w14:textId="139A315B" w:rsidR="00E74FD7" w:rsidRPr="0047363F" w:rsidRDefault="00E74FD7" w:rsidP="00507B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СТАНДАРТТЫ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АУЫЗША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ЕМТИХАН – СҰРАҚТАРҒА ЖАУАП.</w:t>
      </w:r>
    </w:p>
    <w:p w14:paraId="22A42886" w14:textId="7578F4F3" w:rsidR="001E5E27" w:rsidRPr="0047363F" w:rsidRDefault="00E74FD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Офлайн жүргізілді. Емтихан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форматы</w:t>
      </w:r>
      <w:r w:rsidR="004B2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-</w:t>
      </w:r>
      <w:r w:rsidRPr="0047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синхронды.</w:t>
      </w:r>
    </w:p>
    <w:p w14:paraId="0EB351E2" w14:textId="77777777" w:rsidR="001E5E27" w:rsidRPr="0047363F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58FD3B" w14:textId="200515C2" w:rsidR="001E5E27" w:rsidRPr="0047363F" w:rsidRDefault="0047363F" w:rsidP="00507B04">
      <w:pPr>
        <w:widowControl w:val="0"/>
        <w:spacing w:line="258" w:lineRule="auto"/>
        <w:ind w:right="1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Студенттің ауызша емтихан тапсыру процесі </w:t>
      </w:r>
      <w:r w:rsidRPr="004736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емтихан парағын жасауды қамтиды </w:t>
      </w: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7363F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студент емтихан комиссиясының алдында жауап беруі тиіс.</w:t>
      </w:r>
    </w:p>
    <w:p w14:paraId="40F787C4" w14:textId="77777777" w:rsidR="001E5E27" w:rsidRPr="0047363F" w:rsidRDefault="001E5E27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2E8781A" w14:textId="77777777" w:rsidR="004B23A7" w:rsidRPr="0047363F" w:rsidRDefault="004B23A7" w:rsidP="004B23A7">
      <w:pPr>
        <w:widowControl w:val="0"/>
        <w:spacing w:before="10"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63F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РЕГЛАМЕНТІ</w:t>
      </w:r>
    </w:p>
    <w:p w14:paraId="276B61E9" w14:textId="7385EB6A" w:rsidR="001E5E27" w:rsidRPr="004B23A7" w:rsidRDefault="004B23A7" w:rsidP="002C6483">
      <w:pPr>
        <w:widowControl w:val="0"/>
        <w:spacing w:before="1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МАҢЫЗДЫ</w:t>
      </w:r>
      <w:r w:rsidR="00C40ECB" w:rsidRPr="0047363F">
        <w:rPr>
          <w:rFonts w:ascii="Times New Roman" w:eastAsia="Times New Roman" w:hAnsi="Times New Roman" w:cs="Times New Roman"/>
          <w:color w:val="FF0000"/>
          <w:spacing w:val="66"/>
          <w:sz w:val="28"/>
          <w:szCs w:val="28"/>
          <w:lang w:val="kk-KZ"/>
        </w:rPr>
        <w:t xml:space="preserve"> </w:t>
      </w:r>
      <w:r w:rsidR="00C40ECB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C40ECB" w:rsidRPr="0047363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kk-KZ"/>
        </w:rPr>
        <w:t xml:space="preserve"> </w:t>
      </w:r>
      <w:r w:rsidRPr="0047363F">
        <w:rPr>
          <w:rFonts w:ascii="Times New Roman" w:hAnsi="Times New Roman" w:cs="Times New Roman"/>
          <w:sz w:val="28"/>
          <w:szCs w:val="28"/>
          <w:lang w:val="kk-KZ"/>
        </w:rPr>
        <w:t>емтихан білім алушылар мен оқытушыларға алдын-ала белгілі кесте бойынша өткізіледі. Бұған кафедралар мен факультеттер жауапты</w:t>
      </w:r>
      <w:r w:rsidRPr="004B23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97F7E4" w14:textId="77777777" w:rsidR="001E5E27" w:rsidRPr="0047363F" w:rsidRDefault="001E5E27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0DD446" w14:textId="594C8E23" w:rsidR="001E5E27" w:rsidRPr="0047363F" w:rsidRDefault="004B23A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 АЛУШЫ</w:t>
      </w:r>
    </w:p>
    <w:p w14:paraId="347B5CD4" w14:textId="5227EA39" w:rsidR="00A877FB" w:rsidRPr="0047363F" w:rsidRDefault="00A877FB" w:rsidP="00A877FB">
      <w:pPr>
        <w:widowControl w:val="0"/>
        <w:spacing w:line="240" w:lineRule="auto"/>
        <w:ind w:left="360" w:right="-1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 тапсыру үшін ғимаратқа алдын ала келіп, аудитория табу керек.</w:t>
      </w:r>
    </w:p>
    <w:p w14:paraId="7BA4FF16" w14:textId="27D59C66" w:rsidR="00A877FB" w:rsidRPr="0047363F" w:rsidRDefault="00A877FB" w:rsidP="00A877FB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7363F">
        <w:rPr>
          <w:rFonts w:ascii="Times New Roman" w:hAnsi="Times New Roman" w:cs="Times New Roman"/>
          <w:sz w:val="28"/>
          <w:szCs w:val="28"/>
          <w:lang w:val="kk-KZ"/>
        </w:rPr>
        <w:t>Удостоверенияны</w:t>
      </w:r>
      <w:r w:rsidR="0047363F" w:rsidRPr="0047363F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</w:t>
      </w:r>
      <w:r w:rsidR="0047363F">
        <w:rPr>
          <w:rFonts w:ascii="Times New Roman" w:hAnsi="Times New Roman" w:cs="Times New Roman"/>
          <w:sz w:val="28"/>
          <w:szCs w:val="28"/>
          <w:lang w:val="kk-KZ"/>
        </w:rPr>
        <w:t xml:space="preserve"> және т</w:t>
      </w:r>
      <w:r w:rsidR="004B23A7" w:rsidRPr="0047363F">
        <w:rPr>
          <w:rFonts w:ascii="Times New Roman" w:hAnsi="Times New Roman" w:cs="Times New Roman"/>
          <w:sz w:val="28"/>
          <w:szCs w:val="28"/>
          <w:lang w:val="kk-KZ"/>
        </w:rPr>
        <w:t>іркеу парағына қол қойыңыз.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</w:p>
    <w:p w14:paraId="03DAF98A" w14:textId="60E1068D" w:rsidR="00A877FB" w:rsidRPr="0047363F" w:rsidRDefault="00A877FB" w:rsidP="00A877FB">
      <w:pPr>
        <w:widowControl w:val="0"/>
        <w:spacing w:before="1" w:line="240" w:lineRule="auto"/>
        <w:ind w:left="360" w:right="-58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Pr="0047363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Кезегіңізге сәйкес </w:t>
      </w:r>
      <w:r w:rsid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аудиторияға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кіріңіз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2A3D111" w14:textId="18D6002F" w:rsidR="00A877FB" w:rsidRPr="0047363F" w:rsidRDefault="00A877FB" w:rsidP="00A877FB">
      <w:pPr>
        <w:widowControl w:val="0"/>
        <w:spacing w:line="257" w:lineRule="auto"/>
        <w:ind w:left="360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4B23A7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Билет алған соң, билеттегі сұрақтарға жауап беруге кірісіңіз.</w:t>
      </w:r>
    </w:p>
    <w:p w14:paraId="619839E9" w14:textId="2CF760CF" w:rsidR="00A877FB" w:rsidRPr="0047363F" w:rsidRDefault="00A877FB" w:rsidP="00A877FB">
      <w:pPr>
        <w:widowControl w:val="0"/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 w:rsidR="0047363F"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Дайындық ұзақтығын комиссия анықтайды (ұсынылатын 10 минуттық дайындық және 5 минуттық жауап).</w:t>
      </w:r>
    </w:p>
    <w:p w14:paraId="27F29D74" w14:textId="1030D7DF" w:rsidR="00A877FB" w:rsidRPr="0047363F" w:rsidRDefault="00A877FB" w:rsidP="00A877FB">
      <w:pPr>
        <w:widowControl w:val="0"/>
        <w:spacing w:line="258" w:lineRule="auto"/>
        <w:ind w:right="49"/>
        <w:rPr>
          <w:rFonts w:ascii="Times New Roman" w:hAnsi="Times New Roman" w:cs="Times New Roman"/>
          <w:sz w:val="28"/>
          <w:szCs w:val="28"/>
          <w:lang w:val="kk-KZ"/>
        </w:rPr>
      </w:pPr>
      <w:r w:rsidRPr="004736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="0047363F" w:rsidRPr="0047363F">
        <w:rPr>
          <w:rFonts w:ascii="Times New Roman" w:hAnsi="Times New Roman" w:cs="Times New Roman"/>
          <w:sz w:val="28"/>
          <w:szCs w:val="28"/>
          <w:lang w:val="kk-KZ"/>
        </w:rPr>
        <w:t>Дайын болғаннан кейін студент өз жауаптарын комиссия алдында қорғайды.</w:t>
      </w:r>
    </w:p>
    <w:p w14:paraId="1BDB89CF" w14:textId="77777777" w:rsidR="001E5E27" w:rsidRPr="0047363F" w:rsidRDefault="001E5E27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427E20" w14:textId="6C6A04C8" w:rsidR="001E5E27" w:rsidRPr="0047363F" w:rsidRDefault="00C40ECB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4B23A7" w:rsidRPr="0047363F">
        <w:rPr>
          <w:lang w:val="kk-KZ"/>
        </w:rPr>
        <w:t xml:space="preserve"> </w:t>
      </w:r>
      <w:r w:rsidR="004B23A7" w:rsidRPr="0047363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Пән бойынша қорытынды емтихан тақырыптарының тізімі </w:t>
      </w:r>
    </w:p>
    <w:p w14:paraId="1760D590" w14:textId="77777777" w:rsidR="009F7B55" w:rsidRPr="00C841D5" w:rsidRDefault="009F7B55" w:rsidP="009F7B55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01E13A1C" w14:textId="77777777" w:rsidR="0068578B" w:rsidRPr="009F0C23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</w:pPr>
      <w:r w:rsidRPr="009F0C23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/>
        </w:rPr>
        <w:t>Пән бойынша қорытынды емтихан тақырыптарының тізімі</w:t>
      </w:r>
    </w:p>
    <w:p w14:paraId="387EFB52" w14:textId="77777777" w:rsidR="0068578B" w:rsidRPr="009F0C23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</w:p>
    <w:p w14:paraId="7A7C46A3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Модуль 1</w:t>
      </w:r>
    </w:p>
    <w:p w14:paraId="0CAEE7DC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Функциялар кластары және квадратура формулалары туралы</w:t>
      </w:r>
    </w:p>
    <w:p w14:paraId="2D019427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lastRenderedPageBreak/>
        <w:t>1. Сандардың теориялық леммалары</w:t>
      </w:r>
    </w:p>
    <w:p w14:paraId="309D5C9C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2. Функция кластары туралы</w:t>
      </w:r>
    </w:p>
    <w:p w14:paraId="1FF6883E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3. Квадратура формулалары туралы</w:t>
      </w:r>
    </w:p>
    <w:p w14:paraId="4FD57582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4. Функцияларды периодизациялау.</w:t>
      </w:r>
    </w:p>
    <w:p w14:paraId="4B09E4E7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Модуль 2</w:t>
      </w:r>
    </w:p>
    <w:p w14:paraId="559F423D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5. Теориялық сандары бар квадратуралық формулалар</w:t>
      </w:r>
    </w:p>
    <w:p w14:paraId="59BD1392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торлар</w:t>
      </w:r>
    </w:p>
    <w:p w14:paraId="45A4BA14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6. Біркелкі емес торлар</w:t>
      </w:r>
    </w:p>
    <w:p w14:paraId="5B837CA3" w14:textId="77777777" w:rsidR="0068578B" w:rsidRPr="0068578B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7.Түйіндердің ерікті саны бар торлар туралы</w:t>
      </w:r>
    </w:p>
    <w:p w14:paraId="5E515E37" w14:textId="77777777" w:rsidR="0068578B" w:rsidRPr="009F0C23" w:rsidRDefault="0068578B" w:rsidP="006857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8. Параллелепипедальды торлар</w:t>
      </w:r>
    </w:p>
    <w:p w14:paraId="72985E7C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Модуль 3</w:t>
      </w:r>
    </w:p>
    <w:p w14:paraId="5A6DBA93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9.Қасиеттер, есептеу және практикалық қолдану</w:t>
      </w:r>
    </w:p>
    <w:p w14:paraId="3E9B793C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оңтайлы коэффициенттер</w:t>
      </w:r>
    </w:p>
    <w:p w14:paraId="6D86D8D9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10. Қажетті және жеткілікті шарттар</w:t>
      </w:r>
    </w:p>
    <w:p w14:paraId="6939E5CE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оңтайлылық</w:t>
      </w:r>
    </w:p>
    <w:p w14:paraId="6D31FC1B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11. Оптималдылықтың сандық теориялық қасиеттері</w:t>
      </w:r>
    </w:p>
    <w:p w14:paraId="31A183B5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коэффициенттер</w:t>
      </w:r>
    </w:p>
    <w:p w14:paraId="1C467FD0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12. Оптималды коэффициенттерді есептеу</w:t>
      </w:r>
    </w:p>
    <w:p w14:paraId="57A205DC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13. Оңтайлы коэффициенттерді практикалық қолдану туралы</w:t>
      </w:r>
    </w:p>
    <w:p w14:paraId="7DC7A4B5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Модуль 4</w:t>
      </w:r>
    </w:p>
    <w:p w14:paraId="6F06A126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14. Сандық торларды қолдану интерполяция формулалары және интегралдық теңдеулер</w:t>
      </w:r>
    </w:p>
    <w:p w14:paraId="6C611022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15. Бірнеше айнымалы функцияларды интерполяциялау</w:t>
      </w:r>
    </w:p>
    <w:p w14:paraId="62B4E6C1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16. Интегралдық теңдеулерді жуықтап шешу</w:t>
      </w:r>
    </w:p>
    <w:p w14:paraId="51056470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итерация әдісі </w:t>
      </w:r>
    </w:p>
    <w:p w14:paraId="56EAECDC" w14:textId="77777777" w:rsidR="0068578B" w:rsidRPr="0068578B" w:rsidRDefault="0068578B" w:rsidP="0068578B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17. Интегралдық теңдеуді al-жүйеге келтіру</w:t>
      </w:r>
    </w:p>
    <w:p w14:paraId="0D8D9B67" w14:textId="77777777" w:rsidR="0068578B" w:rsidRPr="0068578B" w:rsidRDefault="0068578B" w:rsidP="0068578B">
      <w:pPr>
        <w:pStyle w:val="HTML"/>
        <w:shd w:val="clear" w:color="auto" w:fill="FFFFFF" w:themeFill="background1"/>
        <w:rPr>
          <w:rFonts w:ascii="Times New Roman" w:hAnsi="Times New Roman" w:cs="Times New Roman"/>
          <w:color w:val="202124"/>
          <w:sz w:val="28"/>
          <w:szCs w:val="28"/>
        </w:rPr>
      </w:pPr>
      <w:r w:rsidRPr="0068578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алгебралық теңдеулер</w:t>
      </w:r>
    </w:p>
    <w:p w14:paraId="0C8F6BFA" w14:textId="77777777" w:rsidR="0068578B" w:rsidRPr="0068578B" w:rsidRDefault="0068578B" w:rsidP="0068578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E31C86" w14:textId="77777777" w:rsidR="009F7B55" w:rsidRPr="0068578B" w:rsidRDefault="009F7B55" w:rsidP="009F7B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13CA0578" w14:textId="77777777" w:rsidR="009F7B55" w:rsidRPr="0068578B" w:rsidRDefault="009F7B55" w:rsidP="009F7B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ҰСЫНЫЛҒАН ӘДЕБИЕТТЕР</w:t>
      </w:r>
    </w:p>
    <w:p w14:paraId="48407654" w14:textId="77777777" w:rsidR="009F7B55" w:rsidRPr="0068578B" w:rsidRDefault="009F7B55" w:rsidP="009F7B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5080F8" w14:textId="77777777" w:rsidR="0068578B" w:rsidRPr="0068578B" w:rsidRDefault="009F7B55" w:rsidP="0068578B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68578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Негізгі: </w:t>
      </w:r>
    </w:p>
    <w:p w14:paraId="22347A10" w14:textId="6670A546" w:rsidR="0068578B" w:rsidRPr="0068578B" w:rsidRDefault="0068578B" w:rsidP="0068578B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1. Коробов Н.М. </w:t>
      </w:r>
    </w:p>
    <w:p w14:paraId="523B891C" w14:textId="77777777" w:rsidR="0068578B" w:rsidRPr="0068578B" w:rsidRDefault="0068578B" w:rsidP="006857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578B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числовые методы в приближенном анализе </w:t>
      </w:r>
    </w:p>
    <w:p w14:paraId="5107D415" w14:textId="77777777" w:rsidR="0068578B" w:rsidRPr="0068578B" w:rsidRDefault="0068578B" w:rsidP="0068578B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Физматгиз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, 1963 г., 224 стр. (Серия «Библиотека прикладного анализа и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вычислительиой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математики») </w:t>
      </w:r>
    </w:p>
    <w:p w14:paraId="34600C76" w14:textId="77777777" w:rsidR="0068578B" w:rsidRPr="0068578B" w:rsidRDefault="0068578B" w:rsidP="0068578B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2. Ч е н ц о в Н. Н., </w:t>
      </w:r>
      <w:proofErr w:type="gramStart"/>
      <w:r w:rsidRPr="006857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578B">
        <w:rPr>
          <w:rFonts w:ascii="Times New Roman" w:hAnsi="Times New Roman" w:cs="Times New Roman"/>
          <w:sz w:val="28"/>
          <w:szCs w:val="28"/>
        </w:rPr>
        <w:t xml:space="preserve"> квадратурных формулах для функций бес- </w:t>
      </w:r>
    </w:p>
    <w:p w14:paraId="6C085505" w14:textId="63CAD4BF" w:rsidR="009F7B55" w:rsidRPr="0068578B" w:rsidRDefault="0068578B" w:rsidP="0068578B">
      <w:pPr>
        <w:pStyle w:val="6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бесконечно большого числа переменных, Ж-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вычисл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proofErr w:type="gramStart"/>
      <w:r w:rsidRPr="006857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7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мыатем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>. физики</w:t>
      </w:r>
    </w:p>
    <w:p w14:paraId="064AE635" w14:textId="77777777" w:rsidR="009F7B55" w:rsidRPr="0068578B" w:rsidRDefault="009F7B55" w:rsidP="009F7B55">
      <w:pPr>
        <w:tabs>
          <w:tab w:val="left" w:pos="102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78B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Pr="0068578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:</w:t>
      </w:r>
    </w:p>
    <w:p w14:paraId="4CF6C77F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8578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8578B">
        <w:rPr>
          <w:rFonts w:ascii="Times New Roman" w:hAnsi="Times New Roman" w:cs="Times New Roman"/>
          <w:sz w:val="28"/>
          <w:szCs w:val="28"/>
        </w:rPr>
        <w:t xml:space="preserve"> а р ы г и н И. Ф., О применении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теоретикочисловых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методов </w:t>
      </w:r>
    </w:p>
    <w:p w14:paraId="32503538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интегрирования в случае непериодических функций,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167644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АН СССР 132, № 1 A960), 71—74. </w:t>
      </w:r>
    </w:p>
    <w:p w14:paraId="5AC3EF22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578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8578B">
        <w:rPr>
          <w:rFonts w:ascii="Times New Roman" w:hAnsi="Times New Roman" w:cs="Times New Roman"/>
          <w:sz w:val="28"/>
          <w:szCs w:val="28"/>
        </w:rPr>
        <w:t xml:space="preserve"> а х о в Ю Н., О приближенном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реи'ении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уравнений Вольтер- </w:t>
      </w:r>
    </w:p>
    <w:p w14:paraId="29B9E2CA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578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II рода методом итераций,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. АН СССР 128, № 6 A959), </w:t>
      </w:r>
    </w:p>
    <w:p w14:paraId="5B3E2763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t xml:space="preserve">1136—1139. </w:t>
      </w:r>
    </w:p>
    <w:p w14:paraId="7A79F028" w14:textId="77777777" w:rsidR="00ED1249" w:rsidRPr="0068578B" w:rsidRDefault="00ED1249" w:rsidP="00ED1249">
      <w:pPr>
        <w:rPr>
          <w:rFonts w:ascii="Times New Roman" w:hAnsi="Times New Roman" w:cs="Times New Roman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</w:rPr>
        <w:lastRenderedPageBreak/>
        <w:t>5.X а с е л ь г р о в (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Haselgrove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Math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578B">
        <w:rPr>
          <w:rFonts w:ascii="Times New Roman" w:hAnsi="Times New Roman" w:cs="Times New Roman"/>
          <w:sz w:val="28"/>
          <w:szCs w:val="28"/>
        </w:rPr>
        <w:t>Сотр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68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78B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68578B">
        <w:rPr>
          <w:rFonts w:ascii="Times New Roman" w:hAnsi="Times New Roman" w:cs="Times New Roman"/>
          <w:sz w:val="28"/>
          <w:szCs w:val="28"/>
        </w:rPr>
        <w:t xml:space="preserve">. 15, № 76 </w:t>
      </w:r>
    </w:p>
    <w:p w14:paraId="32FF1DA7" w14:textId="77777777" w:rsidR="00ED1249" w:rsidRPr="0068578B" w:rsidRDefault="00ED1249" w:rsidP="00ED1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6857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8578B">
        <w:rPr>
          <w:rFonts w:ascii="Times New Roman" w:hAnsi="Times New Roman" w:cs="Times New Roman"/>
          <w:sz w:val="28"/>
          <w:szCs w:val="28"/>
        </w:rPr>
        <w:t>961), 323—337</w:t>
      </w:r>
      <w:r w:rsidRPr="0068578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</w:p>
    <w:p w14:paraId="00215189" w14:textId="0A815FF3" w:rsidR="00ED1249" w:rsidRPr="0068578B" w:rsidRDefault="00ED1249" w:rsidP="00ED1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7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Интернет-ресурс </w:t>
      </w:r>
    </w:p>
    <w:p w14:paraId="194845CE" w14:textId="19419B49" w:rsidR="009F7B55" w:rsidRPr="0068578B" w:rsidRDefault="00ED1249" w:rsidP="0068578B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Pr="0068578B">
          <w:rPr>
            <w:rStyle w:val="a7"/>
            <w:rFonts w:ascii="Times New Roman" w:hAnsi="Times New Roman"/>
            <w:sz w:val="28"/>
            <w:szCs w:val="28"/>
            <w:lang w:val="kk-KZ"/>
          </w:rPr>
          <w:t>https://studizba.com/files/show/doc/221931-1-a-v-rozhkov-o-v-nissenbaum--teoretiko.html</w:t>
        </w:r>
      </w:hyperlink>
    </w:p>
    <w:p w14:paraId="208C2815" w14:textId="4A7E93F0" w:rsidR="001E5E27" w:rsidRPr="00ED1249" w:rsidRDefault="004B23A7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4B23A7">
        <w:rPr>
          <w:rFonts w:ascii="Times New Roman" w:hAnsi="Times New Roman" w:cs="Times New Roman"/>
          <w:sz w:val="28"/>
          <w:szCs w:val="28"/>
        </w:rPr>
        <w:t>Онлайн</w:t>
      </w:r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r w:rsidRPr="004B23A7">
        <w:rPr>
          <w:rFonts w:ascii="Times New Roman" w:hAnsi="Times New Roman" w:cs="Times New Roman"/>
          <w:sz w:val="28"/>
          <w:szCs w:val="28"/>
        </w:rPr>
        <w:t>материалы</w:t>
      </w:r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  <w:lang w:val="en-US"/>
        </w:rPr>
        <w:t>univer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23A7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23A7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r w:rsidRPr="004B23A7">
        <w:rPr>
          <w:rFonts w:ascii="Times New Roman" w:hAnsi="Times New Roman" w:cs="Times New Roman"/>
          <w:sz w:val="28"/>
          <w:szCs w:val="28"/>
        </w:rPr>
        <w:t>веб</w:t>
      </w:r>
      <w:r w:rsidRPr="00ED12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сайтындағы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ПОӘК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бөліміндегі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парақшаңызда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>.</w:t>
      </w:r>
    </w:p>
    <w:p w14:paraId="0A668DA2" w14:textId="77777777" w:rsidR="005E21A2" w:rsidRPr="00ED1249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5B7E5" w14:textId="10F4930A" w:rsidR="004467B7" w:rsidRPr="007055AE" w:rsidRDefault="004B23A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шкаласы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>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64DD311F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18C7BFFB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251A2F3B" w:rsidR="004467B7" w:rsidRPr="007055AE" w:rsidRDefault="004467B7" w:rsidP="004B23A7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040D23BC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>
          <w:pgSz w:w="11899" w:h="16840"/>
          <w:pgMar w:top="1060" w:right="734" w:bottom="759" w:left="1560" w:header="0" w:footer="0" w:gutter="0"/>
          <w:cols w:space="708"/>
        </w:sectPr>
      </w:pPr>
    </w:p>
    <w:p w14:paraId="484CE1F6" w14:textId="77777777" w:rsidR="004B23A7" w:rsidRDefault="004B23A7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4B23A7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БАҒАЛАУ САЯСАТЫ</w:t>
      </w:r>
    </w:p>
    <w:p w14:paraId="676878FD" w14:textId="00CA2933" w:rsidR="00061BB1" w:rsidRPr="006615FF" w:rsidRDefault="00061BB1" w:rsidP="0006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 w:rsidR="004B23A7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 w:rsidR="004B23A7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 w:rsidR="0047363F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3638E44F" w:rsidR="00061BB1" w:rsidRPr="00256FDF" w:rsidRDefault="00061BB1" w:rsidP="00CC0A5B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0FF73AAA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2AF5DAE6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5416DD53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9CAD" w14:textId="51FC39B1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4D9CFE88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3D41503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3AF28FAD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43A12966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4C98157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60B169A0" w:rsidR="00061BB1" w:rsidRPr="00CC0A5B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2F6982BA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4B649B4" w14:textId="32B80891" w:rsidR="00061BB1" w:rsidRPr="00256FDF" w:rsidRDefault="00CC0A5B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тұжырымдамаларын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58FE9824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жан-жақты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түсіндірмесі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әрбір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мәлімдеме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дәйекті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түрде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құрастырылған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сыныптағы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тақырыптардан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расталған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586507D3" w:rsidR="00061BB1" w:rsidRPr="00256FDF" w:rsidRDefault="00CC0A5B" w:rsidP="00CC0A5B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мәселенің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бірақ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қамтылуын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қысқартылған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қамтитын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мүмкіндік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7D3A3D34" w:rsidR="00061BB1" w:rsidRPr="00256FDF" w:rsidRDefault="00CC0A5B" w:rsidP="00CC0A5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теңгерімсіздіктерге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көрсетпеу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0621B7FA" w:rsidR="00061BB1" w:rsidRPr="00256FDF" w:rsidRDefault="00CC0A5B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сөздік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0F5C21CF" w:rsidR="00061BB1" w:rsidRPr="00256FDF" w:rsidRDefault="00CC0A5B" w:rsidP="00CC0A5B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4A7AD48A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45DD1B70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9CF9" w14:textId="43C8D3FE" w:rsidR="00061BB1" w:rsidRPr="00256FDF" w:rsidRDefault="00CC0A5B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60119E35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9575" w14:textId="4C915CFE" w:rsidR="00061BB1" w:rsidRPr="00256FDF" w:rsidRDefault="001178F9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423B8C43" w:rsidR="00061BB1" w:rsidRPr="00256FDF" w:rsidRDefault="001178F9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үзінділермен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қателіктер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жіберілген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D640" w14:textId="50E9B7C8" w:rsidR="00061BB1" w:rsidRPr="00256FDF" w:rsidRDefault="001178F9" w:rsidP="001178F9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467A" w14:textId="68E77BC1" w:rsidR="00061BB1" w:rsidRPr="00256FDF" w:rsidRDefault="001178F9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89FB0B4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38E6A66E" w:rsidR="00061BB1" w:rsidRPr="00256FDF" w:rsidRDefault="00061BB1" w:rsidP="00CC0A5B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0768853D" w:rsidR="00061BB1" w:rsidRPr="00256FDF" w:rsidRDefault="00CC0A5B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1BFFDCCC" w:rsidR="00061BB1" w:rsidRPr="00256FDF" w:rsidRDefault="00CC0A5B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6D42AF74" w:rsidR="00061BB1" w:rsidRPr="00256FDF" w:rsidRDefault="00CC0A5B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2E11D78A" w:rsidR="00061BB1" w:rsidRPr="00256FDF" w:rsidRDefault="00CC0A5B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36ABB4FC" w:rsidR="00061BB1" w:rsidRPr="00D07A2A" w:rsidRDefault="00061BB1" w:rsidP="001178F9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A2B1F89" w:rsidR="00061BB1" w:rsidRPr="00D07A2A" w:rsidRDefault="00061BB1" w:rsidP="001178F9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4F57302D" w:rsidR="00061BB1" w:rsidRPr="00D07A2A" w:rsidRDefault="00061BB1" w:rsidP="001178F9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51E39F6A" w:rsidR="00061BB1" w:rsidRPr="00D07A2A" w:rsidRDefault="00061BB1" w:rsidP="001178F9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30B5B4B4" w:rsidR="00061BB1" w:rsidRPr="00D07A2A" w:rsidRDefault="00061BB1" w:rsidP="001178F9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18FB4863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7B3B124" w14:textId="0F89177E" w:rsidR="00061BB1" w:rsidRPr="00D07A2A" w:rsidRDefault="00061BB1" w:rsidP="00CC0A5B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600DF04B" w:rsidR="00061BB1" w:rsidRPr="00D07A2A" w:rsidRDefault="00CC0A5B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әдістеменің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34F0CB20" w:rsidR="00061BB1" w:rsidRPr="00D07A2A" w:rsidRDefault="001178F9" w:rsidP="001178F9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қағидаларды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қолданбалы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баяндаудағы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көрсетілімді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деректерді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2E027230" w:rsidR="00061BB1" w:rsidRPr="00D07A2A" w:rsidRDefault="001178F9" w:rsidP="001178F9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орындаудың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пайдаланудағы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жасауда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болмашы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6C1759E" w:rsidR="00061BB1" w:rsidRPr="00D07A2A" w:rsidRDefault="001178F9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сенімсіз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стильдік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432BDC2B" w:rsidR="00061BB1" w:rsidRPr="00D07A2A" w:rsidRDefault="001178F9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концептуалды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материал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47CF5205" w:rsidR="00061BB1" w:rsidRPr="00D07A2A" w:rsidRDefault="001178F9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067073D8" w:rsidR="00061BB1" w:rsidRDefault="00CC0A5B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ж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 w:rsidR="00061BB1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6DC7B6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934005" w14:textId="77777777" w:rsidR="002A6DA9" w:rsidRDefault="002A6DA9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23659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4BEED8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168745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5041C0" w14:textId="77777777" w:rsidR="002C0A37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73ADE" w14:textId="77777777" w:rsidR="002C0A37" w:rsidRPr="007055AE" w:rsidRDefault="002C0A3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0A37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74897"/>
    <w:multiLevelType w:val="hybridMultilevel"/>
    <w:tmpl w:val="0ECC1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27"/>
    <w:rsid w:val="00061BB1"/>
    <w:rsid w:val="000875A6"/>
    <w:rsid w:val="001178F9"/>
    <w:rsid w:val="00160471"/>
    <w:rsid w:val="001E5E27"/>
    <w:rsid w:val="001E73BA"/>
    <w:rsid w:val="00200A80"/>
    <w:rsid w:val="002A6DA9"/>
    <w:rsid w:val="002C0A37"/>
    <w:rsid w:val="002C6483"/>
    <w:rsid w:val="00316BFE"/>
    <w:rsid w:val="003A2AA4"/>
    <w:rsid w:val="004467B7"/>
    <w:rsid w:val="0044702E"/>
    <w:rsid w:val="0047363F"/>
    <w:rsid w:val="004B23A7"/>
    <w:rsid w:val="00507B04"/>
    <w:rsid w:val="00550D29"/>
    <w:rsid w:val="005E21A2"/>
    <w:rsid w:val="006236C1"/>
    <w:rsid w:val="0068578B"/>
    <w:rsid w:val="006E0EDC"/>
    <w:rsid w:val="007055AE"/>
    <w:rsid w:val="0071420C"/>
    <w:rsid w:val="00736041"/>
    <w:rsid w:val="00743E71"/>
    <w:rsid w:val="008550B0"/>
    <w:rsid w:val="008A28BF"/>
    <w:rsid w:val="00907CFC"/>
    <w:rsid w:val="009F7B55"/>
    <w:rsid w:val="00A877FB"/>
    <w:rsid w:val="00AD5FDE"/>
    <w:rsid w:val="00C40ECB"/>
    <w:rsid w:val="00CB558D"/>
    <w:rsid w:val="00CC0A5B"/>
    <w:rsid w:val="00CD7DF9"/>
    <w:rsid w:val="00E2638D"/>
    <w:rsid w:val="00E74FD7"/>
    <w:rsid w:val="00ED1249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  <w15:docId w15:val="{3F126ED2-6068-470C-A201-AA93EAF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A6D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rsid w:val="00685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7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8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izba.com/files/show/doc/221931-1-a-v-rozhkov-o-v-nissenbaum--teoretik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МУИТ</dc:creator>
  <cp:lastModifiedBy>Kulyash Kaliyeva</cp:lastModifiedBy>
  <cp:revision>2</cp:revision>
  <cp:lastPrinted>2021-08-27T07:49:00Z</cp:lastPrinted>
  <dcterms:created xsi:type="dcterms:W3CDTF">2023-11-10T14:20:00Z</dcterms:created>
  <dcterms:modified xsi:type="dcterms:W3CDTF">2023-11-10T14:20:00Z</dcterms:modified>
</cp:coreProperties>
</file>